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C3" w:rsidRDefault="00B968C3">
      <w:pPr>
        <w:spacing w:line="360" w:lineRule="auto"/>
        <w:ind w:right="108"/>
        <w:rPr>
          <w:rFonts w:ascii="Arial" w:hAnsi="Arial" w:cs="Arial"/>
          <w:sz w:val="22"/>
          <w:szCs w:val="24"/>
        </w:rPr>
      </w:pPr>
    </w:p>
    <w:p w:rsidR="00B968C3" w:rsidRDefault="000B1F3F">
      <w:pPr>
        <w:spacing w:beforeLines="100" w:before="312" w:afterLines="100" w:after="312" w:line="480" w:lineRule="auto"/>
        <w:ind w:right="108"/>
        <w:jc w:val="center"/>
        <w:rPr>
          <w:rFonts w:ascii="宋体" w:hAnsi="宋体"/>
          <w:b/>
          <w:sz w:val="32"/>
          <w:szCs w:val="24"/>
        </w:rPr>
      </w:pPr>
      <w:r>
        <w:rPr>
          <w:rFonts w:ascii="宋体" w:hAnsi="宋体" w:hint="eastAsia"/>
          <w:b/>
          <w:sz w:val="32"/>
          <w:szCs w:val="24"/>
        </w:rPr>
        <w:t>补充协议</w:t>
      </w:r>
    </w:p>
    <w:p w:rsidR="00B968C3" w:rsidRDefault="000B1F3F">
      <w:pPr>
        <w:tabs>
          <w:tab w:val="left" w:pos="7560"/>
        </w:tabs>
        <w:spacing w:beforeLines="20" w:before="62" w:afterLines="20" w:after="62" w:line="480" w:lineRule="auto"/>
        <w:ind w:firstLineChars="200" w:firstLine="48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甲方（委托方）</w:t>
      </w:r>
      <w:r>
        <w:rPr>
          <w:rFonts w:ascii="Arial" w:hAnsi="Arial" w:cs="Arial"/>
          <w:sz w:val="24"/>
          <w:szCs w:val="24"/>
        </w:rPr>
        <w:t>：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  <w:t>北京市土地整理储备中心西城区分中心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B968C3" w:rsidRDefault="000B1F3F">
      <w:pPr>
        <w:spacing w:beforeLines="20" w:before="62" w:afterLines="20" w:after="62" w:line="48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乙方（受托方）</w:t>
      </w:r>
      <w:r>
        <w:rPr>
          <w:rFonts w:ascii="Arial" w:hAnsi="Arial" w:cs="Arial"/>
          <w:sz w:val="24"/>
          <w:szCs w:val="24"/>
        </w:rPr>
        <w:t>：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u w:val="single"/>
        </w:rPr>
        <w:t>北京康正宏基房地产评估有限公司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      </w:t>
      </w:r>
    </w:p>
    <w:p w:rsidR="00B968C3" w:rsidRDefault="000B1F3F">
      <w:pPr>
        <w:tabs>
          <w:tab w:val="left" w:pos="720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本协议中的所有术语，除非另有说明，否则其定义与双方于</w:t>
      </w:r>
      <w:r>
        <w:rPr>
          <w:rFonts w:ascii="宋体" w:hAnsi="宋体" w:hint="eastAsia"/>
          <w:sz w:val="24"/>
          <w:szCs w:val="24"/>
        </w:rPr>
        <w:t xml:space="preserve"> 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28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签订合同编号为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康正合字</w:t>
      </w:r>
      <w:r>
        <w:rPr>
          <w:rFonts w:ascii="宋体" w:hAnsi="宋体" w:hint="eastAsia"/>
          <w:sz w:val="24"/>
          <w:szCs w:val="24"/>
        </w:rPr>
        <w:t xml:space="preserve">[2020]325  </w:t>
      </w:r>
      <w:r>
        <w:rPr>
          <w:rFonts w:ascii="宋体" w:hAnsi="宋体" w:hint="eastAsia"/>
          <w:sz w:val="24"/>
          <w:szCs w:val="24"/>
        </w:rPr>
        <w:t>号的《国有建设用地使用权收购补偿价格评估委托协议》（以下简称“原合同”）中的定义相同。</w:t>
      </w:r>
    </w:p>
    <w:p w:rsidR="00B968C3" w:rsidRDefault="000B1F3F">
      <w:pPr>
        <w:tabs>
          <w:tab w:val="left" w:pos="720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一、协议内容调整部分为：</w:t>
      </w:r>
    </w:p>
    <w:p w:rsidR="00B968C3" w:rsidRDefault="000B1F3F">
      <w:pPr>
        <w:tabs>
          <w:tab w:val="left" w:pos="720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根据区政府专题会议议定，该项目工作模式发生变化，</w:t>
      </w:r>
      <w:r>
        <w:rPr>
          <w:rFonts w:ascii="宋体" w:hAnsi="宋体" w:hint="eastAsia"/>
          <w:sz w:val="24"/>
          <w:szCs w:val="24"/>
        </w:rPr>
        <w:t>甲方调整</w:t>
      </w:r>
      <w:r>
        <w:rPr>
          <w:rFonts w:ascii="宋体" w:hAnsi="宋体" w:hint="eastAsia"/>
          <w:sz w:val="24"/>
          <w:szCs w:val="24"/>
        </w:rPr>
        <w:t>下列</w:t>
      </w:r>
      <w:r>
        <w:rPr>
          <w:rFonts w:ascii="宋体" w:hAnsi="宋体" w:hint="eastAsia"/>
          <w:sz w:val="24"/>
          <w:szCs w:val="24"/>
        </w:rPr>
        <w:t>委托事项</w:t>
      </w:r>
      <w:r>
        <w:rPr>
          <w:rFonts w:ascii="宋体" w:hAnsi="宋体" w:hint="eastAsia"/>
          <w:sz w:val="24"/>
          <w:szCs w:val="24"/>
        </w:rPr>
        <w:t>：</w:t>
      </w:r>
    </w:p>
    <w:p w:rsidR="00B968C3" w:rsidRDefault="000B1F3F">
      <w:pPr>
        <w:spacing w:line="360" w:lineRule="auto"/>
        <w:ind w:firstLineChars="200" w:firstLine="4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委托估价项目名称：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  <w:t>北京市西城区和平门危改小区东南</w:t>
      </w:r>
      <w:r>
        <w:rPr>
          <w:rFonts w:ascii="Arial" w:hAnsi="Arial" w:cs="Arial" w:hint="eastAsia"/>
          <w:b/>
          <w:sz w:val="24"/>
          <w:szCs w:val="24"/>
          <w:u w:val="single"/>
        </w:rPr>
        <w:t>地块有偿收回</w:t>
      </w:r>
      <w:r>
        <w:rPr>
          <w:rFonts w:ascii="Arial" w:hAnsi="Arial" w:cs="Arial" w:hint="eastAsia"/>
          <w:b/>
          <w:sz w:val="24"/>
          <w:szCs w:val="24"/>
          <w:u w:val="single"/>
        </w:rPr>
        <w:t>国有建设用地使用权补偿</w:t>
      </w:r>
      <w:r>
        <w:rPr>
          <w:rFonts w:ascii="Arial" w:hAnsi="Arial" w:cs="Arial"/>
          <w:b/>
          <w:sz w:val="24"/>
          <w:szCs w:val="24"/>
          <w:u w:val="single"/>
        </w:rPr>
        <w:t>价格评估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</w:t>
      </w:r>
    </w:p>
    <w:p w:rsidR="00B968C3" w:rsidRDefault="000B1F3F">
      <w:pPr>
        <w:tabs>
          <w:tab w:val="left" w:pos="720"/>
        </w:tabs>
        <w:spacing w:line="360" w:lineRule="auto"/>
        <w:ind w:firstLineChars="200" w:firstLine="482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估价目的</w:t>
      </w:r>
      <w:r>
        <w:rPr>
          <w:rFonts w:ascii="Arial" w:hAnsi="Arial" w:cs="Arial" w:hint="eastAsia"/>
          <w:sz w:val="24"/>
          <w:szCs w:val="24"/>
        </w:rPr>
        <w:t>：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>
        <w:rPr>
          <w:rFonts w:ascii="Arial" w:hAnsi="Arial" w:cs="Arial" w:hint="eastAsia"/>
          <w:b/>
          <w:bCs/>
          <w:sz w:val="24"/>
          <w:szCs w:val="24"/>
          <w:u w:val="single"/>
        </w:rPr>
        <w:t>为有偿收回国有建设用地使用权的补偿提供依据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</w:t>
      </w:r>
    </w:p>
    <w:p w:rsidR="00B968C3" w:rsidRDefault="000B1F3F">
      <w:pPr>
        <w:tabs>
          <w:tab w:val="left" w:pos="720"/>
        </w:tabs>
        <w:spacing w:beforeLines="20" w:before="62" w:afterLines="20" w:after="62" w:line="360" w:lineRule="auto"/>
        <w:ind w:firstLineChars="200" w:firstLine="482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价值时点：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202</w:t>
      </w:r>
      <w:r w:rsidR="001D5269">
        <w:rPr>
          <w:rFonts w:ascii="Arial" w:hAnsi="Arial" w:cs="Arial" w:hint="eastAsia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年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 w:hint="eastAsia"/>
          <w:b/>
          <w:bCs/>
          <w:sz w:val="24"/>
          <w:szCs w:val="24"/>
          <w:u w:val="single"/>
        </w:rPr>
        <w:t xml:space="preserve"> 1</w:t>
      </w:r>
      <w:r w:rsidR="001D5269">
        <w:rPr>
          <w:rFonts w:ascii="Arial" w:hAnsi="Arial" w:cs="Arial" w:hint="eastAsia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月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>
        <w:rPr>
          <w:rFonts w:ascii="Arial" w:hAnsi="Arial" w:cs="Arial" w:hint="eastAsia"/>
          <w:b/>
          <w:bCs/>
          <w:sz w:val="24"/>
          <w:szCs w:val="24"/>
          <w:u w:val="single"/>
        </w:rPr>
        <w:t>2</w:t>
      </w:r>
      <w:r w:rsidR="001D5269">
        <w:rPr>
          <w:rFonts w:ascii="Arial" w:hAnsi="Arial" w:cs="Arial" w:hint="eastAsia"/>
          <w:b/>
          <w:bCs/>
          <w:sz w:val="24"/>
          <w:szCs w:val="24"/>
          <w:u w:val="single"/>
        </w:rPr>
        <w:t>5</w:t>
      </w:r>
      <w:r>
        <w:rPr>
          <w:rFonts w:ascii="Arial" w:hAnsi="Arial" w:cs="Arial" w:hint="eastAsia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日</w:t>
      </w:r>
    </w:p>
    <w:p w:rsidR="00B968C3" w:rsidRDefault="000B1F3F">
      <w:pPr>
        <w:tabs>
          <w:tab w:val="left" w:pos="720"/>
        </w:tabs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二、本协议生效后，即成为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原合同不可分割的组成部分，与原合同具有同等的法律效力。除本协议中明确所作调整的条款之外，原合同的其余部分应完全继续有效。本协议与原合同有相互冲突时，以本协议为准。</w:t>
      </w:r>
    </w:p>
    <w:p w:rsidR="00B968C3" w:rsidRDefault="000B1F3F">
      <w:pPr>
        <w:tabs>
          <w:tab w:val="left" w:pos="720"/>
        </w:tabs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>
        <w:rPr>
          <w:rFonts w:ascii="Arial" w:hAnsi="Arial" w:cs="Arial"/>
          <w:sz w:val="24"/>
          <w:szCs w:val="24"/>
        </w:rPr>
        <w:t>本</w:t>
      </w:r>
      <w:r>
        <w:rPr>
          <w:rFonts w:ascii="Arial" w:hAnsi="Arial" w:cs="Arial" w:hint="eastAsia"/>
          <w:sz w:val="24"/>
          <w:szCs w:val="24"/>
        </w:rPr>
        <w:t>补充协议</w:t>
      </w:r>
      <w:r>
        <w:rPr>
          <w:rFonts w:ascii="Arial" w:hAnsi="Arial" w:cs="Arial"/>
          <w:sz w:val="24"/>
          <w:szCs w:val="24"/>
        </w:rPr>
        <w:t>一式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肆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份，甲方持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贰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份，乙方持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贰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份，均具有同等的法律效力。</w:t>
      </w:r>
    </w:p>
    <w:p w:rsidR="00B968C3" w:rsidRDefault="00B968C3">
      <w:pPr>
        <w:ind w:right="105" w:firstLine="496"/>
        <w:rPr>
          <w:rFonts w:ascii="Arial" w:hAnsi="Arial" w:cs="Arial"/>
          <w:sz w:val="24"/>
          <w:szCs w:val="24"/>
        </w:rPr>
      </w:pPr>
    </w:p>
    <w:p w:rsidR="00B968C3" w:rsidRDefault="00B968C3">
      <w:pPr>
        <w:ind w:right="105" w:firstLine="496"/>
        <w:rPr>
          <w:rFonts w:ascii="Arial" w:hAnsi="Arial" w:cs="Arial"/>
          <w:sz w:val="24"/>
          <w:szCs w:val="24"/>
        </w:rPr>
      </w:pPr>
    </w:p>
    <w:p w:rsidR="00B968C3" w:rsidRDefault="00B968C3">
      <w:pPr>
        <w:ind w:right="105" w:firstLine="496"/>
        <w:rPr>
          <w:rFonts w:ascii="Arial" w:hAnsi="Arial" w:cs="Arial"/>
          <w:sz w:val="24"/>
          <w:szCs w:val="24"/>
        </w:rPr>
      </w:pPr>
    </w:p>
    <w:p w:rsidR="00B968C3" w:rsidRDefault="00B968C3">
      <w:pPr>
        <w:ind w:right="105" w:firstLine="496"/>
        <w:rPr>
          <w:rFonts w:ascii="Arial" w:hAnsi="Arial" w:cs="Arial"/>
          <w:sz w:val="24"/>
          <w:szCs w:val="24"/>
        </w:rPr>
      </w:pPr>
    </w:p>
    <w:p w:rsidR="00B968C3" w:rsidRDefault="00B968C3">
      <w:pPr>
        <w:ind w:right="105" w:firstLine="496"/>
        <w:rPr>
          <w:rFonts w:ascii="Arial" w:hAnsi="Arial" w:cs="Arial"/>
          <w:sz w:val="24"/>
          <w:szCs w:val="24"/>
        </w:rPr>
      </w:pPr>
    </w:p>
    <w:p w:rsidR="00B968C3" w:rsidRDefault="00B968C3">
      <w:pPr>
        <w:ind w:right="105" w:firstLine="496"/>
        <w:rPr>
          <w:rFonts w:ascii="Arial" w:hAnsi="Arial" w:cs="Arial"/>
          <w:sz w:val="24"/>
          <w:szCs w:val="24"/>
        </w:rPr>
      </w:pPr>
    </w:p>
    <w:p w:rsidR="00B968C3" w:rsidRDefault="00B968C3">
      <w:pPr>
        <w:ind w:right="105" w:firstLine="496"/>
        <w:rPr>
          <w:rFonts w:ascii="Arial" w:hAnsi="Arial" w:cs="Arial"/>
          <w:sz w:val="24"/>
          <w:szCs w:val="24"/>
        </w:rPr>
      </w:pPr>
    </w:p>
    <w:p w:rsidR="00B968C3" w:rsidRDefault="00B968C3">
      <w:pPr>
        <w:ind w:right="105" w:firstLine="496"/>
        <w:rPr>
          <w:rFonts w:ascii="Arial" w:hAnsi="Arial" w:cs="Arial"/>
          <w:sz w:val="24"/>
          <w:szCs w:val="24"/>
        </w:rPr>
      </w:pPr>
    </w:p>
    <w:p w:rsidR="00B968C3" w:rsidRDefault="00B968C3">
      <w:pPr>
        <w:ind w:right="105" w:firstLine="496"/>
        <w:rPr>
          <w:rFonts w:ascii="Arial" w:hAnsi="Arial" w:cs="Arial"/>
          <w:sz w:val="24"/>
          <w:szCs w:val="24"/>
        </w:rPr>
      </w:pPr>
    </w:p>
    <w:p w:rsidR="00B968C3" w:rsidRDefault="00B968C3">
      <w:pPr>
        <w:ind w:right="105" w:firstLine="496"/>
        <w:rPr>
          <w:rFonts w:ascii="Arial" w:hAnsi="Arial" w:cs="Arial"/>
          <w:sz w:val="24"/>
          <w:szCs w:val="24"/>
        </w:rPr>
      </w:pPr>
    </w:p>
    <w:p w:rsidR="00B968C3" w:rsidRDefault="00B968C3">
      <w:pPr>
        <w:ind w:right="105" w:firstLine="496"/>
        <w:rPr>
          <w:rFonts w:ascii="Arial" w:hAnsi="Arial" w:cs="Arial"/>
          <w:sz w:val="24"/>
          <w:szCs w:val="24"/>
        </w:rPr>
      </w:pPr>
    </w:p>
    <w:p w:rsidR="00B968C3" w:rsidRDefault="000B1F3F">
      <w:pPr>
        <w:spacing w:line="480" w:lineRule="auto"/>
        <w:ind w:right="108" w:firstLine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甲方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盖章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：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B968C3" w:rsidRDefault="000B1F3F">
      <w:pPr>
        <w:spacing w:line="480" w:lineRule="auto"/>
        <w:ind w:right="108" w:firstLine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法定代表人或授权代理人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签字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：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B968C3" w:rsidRDefault="000B1F3F">
      <w:pPr>
        <w:spacing w:line="480" w:lineRule="auto"/>
        <w:ind w:right="108" w:firstLine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联系地址：</w:t>
      </w: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B968C3" w:rsidRDefault="000B1F3F">
      <w:pPr>
        <w:spacing w:line="480" w:lineRule="auto"/>
        <w:ind w:right="108" w:firstLine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电话：</w:t>
      </w: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B968C3" w:rsidRDefault="000B1F3F">
      <w:pPr>
        <w:spacing w:line="480" w:lineRule="auto"/>
        <w:ind w:right="108" w:firstLine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日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B968C3" w:rsidRDefault="00B968C3">
      <w:pPr>
        <w:spacing w:line="480" w:lineRule="auto"/>
        <w:ind w:right="108" w:firstLine="493"/>
        <w:rPr>
          <w:rFonts w:ascii="Arial" w:hAnsi="Arial" w:cs="Arial"/>
          <w:sz w:val="24"/>
          <w:szCs w:val="24"/>
        </w:rPr>
      </w:pPr>
    </w:p>
    <w:p w:rsidR="00B968C3" w:rsidRDefault="000B1F3F">
      <w:pPr>
        <w:spacing w:line="480" w:lineRule="auto"/>
        <w:ind w:right="108" w:firstLine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乙方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盖章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：</w:t>
      </w:r>
    </w:p>
    <w:p w:rsidR="00B968C3" w:rsidRDefault="000B1F3F">
      <w:pPr>
        <w:spacing w:line="480" w:lineRule="auto"/>
        <w:ind w:right="108" w:firstLine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法定代表人或授权代理人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签字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：</w:t>
      </w:r>
    </w:p>
    <w:p w:rsidR="00B968C3" w:rsidRDefault="000B1F3F">
      <w:pPr>
        <w:spacing w:line="480" w:lineRule="auto"/>
        <w:ind w:right="108" w:firstLine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联系地址：</w:t>
      </w:r>
    </w:p>
    <w:p w:rsidR="00B968C3" w:rsidRDefault="000B1F3F">
      <w:pPr>
        <w:spacing w:line="480" w:lineRule="auto"/>
        <w:ind w:right="108" w:firstLine="4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电话：</w:t>
      </w:r>
    </w:p>
    <w:p w:rsidR="00B968C3" w:rsidRDefault="000B1F3F">
      <w:pPr>
        <w:spacing w:line="480" w:lineRule="auto"/>
        <w:ind w:righ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日</w:t>
      </w:r>
      <w:r>
        <w:rPr>
          <w:rFonts w:ascii="Arial" w:hAnsi="Arial" w:cs="Arial"/>
          <w:sz w:val="24"/>
          <w:szCs w:val="24"/>
        </w:rPr>
        <w:br/>
      </w:r>
    </w:p>
    <w:sectPr w:rsidR="00B968C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3F" w:rsidRDefault="000B1F3F">
      <w:r>
        <w:separator/>
      </w:r>
    </w:p>
  </w:endnote>
  <w:endnote w:type="continuationSeparator" w:id="0">
    <w:p w:rsidR="000B1F3F" w:rsidRDefault="000B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8C3" w:rsidRDefault="000B1F3F">
    <w:pPr>
      <w:pStyle w:val="a7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D5269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D5269">
      <w:rPr>
        <w:b/>
        <w:bCs/>
        <w:noProof/>
      </w:rPr>
      <w:t>2</w:t>
    </w:r>
    <w:r>
      <w:rPr>
        <w:b/>
        <w:bCs/>
      </w:rPr>
      <w:fldChar w:fldCharType="end"/>
    </w:r>
  </w:p>
  <w:p w:rsidR="00B968C3" w:rsidRDefault="00B968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3F" w:rsidRDefault="000B1F3F">
      <w:r>
        <w:separator/>
      </w:r>
    </w:p>
  </w:footnote>
  <w:footnote w:type="continuationSeparator" w:id="0">
    <w:p w:rsidR="000B1F3F" w:rsidRDefault="000B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D8"/>
    <w:rsid w:val="00021951"/>
    <w:rsid w:val="00031004"/>
    <w:rsid w:val="000366A2"/>
    <w:rsid w:val="00041FE9"/>
    <w:rsid w:val="00052CA9"/>
    <w:rsid w:val="00080C9B"/>
    <w:rsid w:val="0009219B"/>
    <w:rsid w:val="00095788"/>
    <w:rsid w:val="000A1092"/>
    <w:rsid w:val="000B1F3F"/>
    <w:rsid w:val="000E082E"/>
    <w:rsid w:val="001008FA"/>
    <w:rsid w:val="00116144"/>
    <w:rsid w:val="0013379B"/>
    <w:rsid w:val="001570D8"/>
    <w:rsid w:val="001736DA"/>
    <w:rsid w:val="001D5269"/>
    <w:rsid w:val="001E3BE6"/>
    <w:rsid w:val="001E3C50"/>
    <w:rsid w:val="002C00A5"/>
    <w:rsid w:val="002C32D3"/>
    <w:rsid w:val="002E52E4"/>
    <w:rsid w:val="002E5B22"/>
    <w:rsid w:val="003C4C14"/>
    <w:rsid w:val="003E7DED"/>
    <w:rsid w:val="003F2A53"/>
    <w:rsid w:val="00427355"/>
    <w:rsid w:val="00430764"/>
    <w:rsid w:val="00447328"/>
    <w:rsid w:val="00455C21"/>
    <w:rsid w:val="00463A0A"/>
    <w:rsid w:val="004839FA"/>
    <w:rsid w:val="004958C3"/>
    <w:rsid w:val="004E5FFC"/>
    <w:rsid w:val="00534F27"/>
    <w:rsid w:val="005430CB"/>
    <w:rsid w:val="00543A6A"/>
    <w:rsid w:val="005500BE"/>
    <w:rsid w:val="0057646B"/>
    <w:rsid w:val="00594DD6"/>
    <w:rsid w:val="005A0132"/>
    <w:rsid w:val="005B6011"/>
    <w:rsid w:val="005B7107"/>
    <w:rsid w:val="005E2C87"/>
    <w:rsid w:val="005F48CF"/>
    <w:rsid w:val="006079E7"/>
    <w:rsid w:val="006169FB"/>
    <w:rsid w:val="00677E4B"/>
    <w:rsid w:val="006926F5"/>
    <w:rsid w:val="00705082"/>
    <w:rsid w:val="007836DE"/>
    <w:rsid w:val="00784839"/>
    <w:rsid w:val="007A2139"/>
    <w:rsid w:val="007C692E"/>
    <w:rsid w:val="007D0891"/>
    <w:rsid w:val="007D2EC2"/>
    <w:rsid w:val="00824FB6"/>
    <w:rsid w:val="00834F20"/>
    <w:rsid w:val="0083549B"/>
    <w:rsid w:val="0084232E"/>
    <w:rsid w:val="008B00A9"/>
    <w:rsid w:val="008D4FDE"/>
    <w:rsid w:val="008E11D1"/>
    <w:rsid w:val="009117F5"/>
    <w:rsid w:val="00931A84"/>
    <w:rsid w:val="0093774A"/>
    <w:rsid w:val="009D5D0D"/>
    <w:rsid w:val="009E0AE9"/>
    <w:rsid w:val="009F1F7B"/>
    <w:rsid w:val="00A00764"/>
    <w:rsid w:val="00A22AF2"/>
    <w:rsid w:val="00A500BC"/>
    <w:rsid w:val="00A70DF1"/>
    <w:rsid w:val="00A7312D"/>
    <w:rsid w:val="00AA004C"/>
    <w:rsid w:val="00B21F76"/>
    <w:rsid w:val="00B37274"/>
    <w:rsid w:val="00B656EF"/>
    <w:rsid w:val="00B7192D"/>
    <w:rsid w:val="00B968C3"/>
    <w:rsid w:val="00BE0762"/>
    <w:rsid w:val="00C21946"/>
    <w:rsid w:val="00C30D76"/>
    <w:rsid w:val="00C65448"/>
    <w:rsid w:val="00C84E2D"/>
    <w:rsid w:val="00CB09B2"/>
    <w:rsid w:val="00CC6D15"/>
    <w:rsid w:val="00CF31B6"/>
    <w:rsid w:val="00D818CD"/>
    <w:rsid w:val="00D87FD1"/>
    <w:rsid w:val="00E3211C"/>
    <w:rsid w:val="00EA0F88"/>
    <w:rsid w:val="00EB48DF"/>
    <w:rsid w:val="00EE57E9"/>
    <w:rsid w:val="00F3596D"/>
    <w:rsid w:val="00F51FF5"/>
    <w:rsid w:val="00FB0D96"/>
    <w:rsid w:val="00FC4782"/>
    <w:rsid w:val="00FD0271"/>
    <w:rsid w:val="00FE49CB"/>
    <w:rsid w:val="00FE74AA"/>
    <w:rsid w:val="00FF584C"/>
    <w:rsid w:val="0A984B39"/>
    <w:rsid w:val="29F95D53"/>
    <w:rsid w:val="3755313B"/>
    <w:rsid w:val="3ADF41CC"/>
    <w:rsid w:val="3C2D4802"/>
    <w:rsid w:val="3F790FA3"/>
    <w:rsid w:val="40A84B1E"/>
    <w:rsid w:val="46733F4E"/>
    <w:rsid w:val="588049F6"/>
    <w:rsid w:val="624F4055"/>
    <w:rsid w:val="6324725B"/>
    <w:rsid w:val="764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 w:qFormat="1"/>
    <w:lsdException w:name="toc 2" w:unhideWhenUsed="0" w:qFormat="1"/>
    <w:lsdException w:name="toc 3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 w:qFormat="1"/>
    <w:lsdException w:name="footer" w:semiHidden="0" w:unhideWhenUsed="0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widowControl/>
      <w:spacing w:before="340" w:after="330" w:line="578" w:lineRule="auto"/>
      <w:ind w:rightChars="50" w:right="50" w:firstLineChars="236" w:firstLine="236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  <w:rPr>
      <w:rFonts w:eastAsia="仿宋_GB2312"/>
      <w:sz w:val="30"/>
      <w:szCs w:val="30"/>
    </w:rPr>
  </w:style>
  <w:style w:type="paragraph" w:styleId="a4">
    <w:name w:val="Body Text"/>
    <w:basedOn w:val="a"/>
    <w:link w:val="Char0"/>
    <w:uiPriority w:val="99"/>
    <w:qFormat/>
    <w:pPr>
      <w:spacing w:before="120" w:after="120" w:line="400" w:lineRule="exact"/>
    </w:pPr>
    <w:rPr>
      <w:rFonts w:eastAsia="仿宋_GB2312"/>
      <w:sz w:val="24"/>
      <w:szCs w:val="24"/>
    </w:rPr>
  </w:style>
  <w:style w:type="paragraph" w:styleId="a5">
    <w:name w:val="Body Text Indent"/>
    <w:basedOn w:val="a"/>
    <w:link w:val="Char1"/>
    <w:uiPriority w:val="99"/>
    <w:qFormat/>
    <w:pPr>
      <w:tabs>
        <w:tab w:val="left" w:pos="720"/>
      </w:tabs>
      <w:spacing w:before="120" w:after="120" w:line="400" w:lineRule="exact"/>
      <w:ind w:left="360"/>
    </w:pPr>
    <w:rPr>
      <w:rFonts w:eastAsia="仿宋_GB2312"/>
      <w:sz w:val="24"/>
      <w:szCs w:val="24"/>
    </w:rPr>
  </w:style>
  <w:style w:type="paragraph" w:styleId="3">
    <w:name w:val="toc 3"/>
    <w:basedOn w:val="a"/>
    <w:next w:val="a"/>
    <w:uiPriority w:val="99"/>
    <w:semiHidden/>
    <w:qFormat/>
    <w:pPr>
      <w:widowControl/>
      <w:spacing w:after="100" w:line="276" w:lineRule="auto"/>
      <w:ind w:left="440"/>
      <w:jc w:val="left"/>
    </w:pPr>
    <w:rPr>
      <w:rFonts w:ascii="Calibri" w:hAnsi="Calibri" w:cs="Calibri"/>
      <w:kern w:val="0"/>
      <w:sz w:val="22"/>
      <w:szCs w:val="22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semiHidden/>
    <w:qFormat/>
    <w:pPr>
      <w:widowControl/>
      <w:spacing w:after="100" w:line="276" w:lineRule="auto"/>
      <w:jc w:val="left"/>
    </w:pPr>
    <w:rPr>
      <w:rFonts w:ascii="Calibri" w:hAnsi="Calibri" w:cs="Calibri"/>
      <w:kern w:val="0"/>
      <w:sz w:val="22"/>
      <w:szCs w:val="22"/>
    </w:rPr>
  </w:style>
  <w:style w:type="paragraph" w:styleId="2">
    <w:name w:val="toc 2"/>
    <w:basedOn w:val="a"/>
    <w:next w:val="a"/>
    <w:uiPriority w:val="99"/>
    <w:semiHidden/>
    <w:qFormat/>
    <w:pPr>
      <w:widowControl/>
      <w:spacing w:after="100" w:line="276" w:lineRule="auto"/>
      <w:ind w:left="220"/>
      <w:jc w:val="left"/>
    </w:pPr>
    <w:rPr>
      <w:rFonts w:ascii="Calibri" w:hAnsi="Calibri" w:cs="Calibri"/>
      <w:kern w:val="0"/>
      <w:sz w:val="22"/>
      <w:szCs w:val="22"/>
    </w:rPr>
  </w:style>
  <w:style w:type="paragraph" w:styleId="20">
    <w:name w:val="Body Text 2"/>
    <w:basedOn w:val="a"/>
    <w:link w:val="2Char"/>
    <w:uiPriority w:val="99"/>
    <w:qFormat/>
    <w:pPr>
      <w:spacing w:before="120" w:after="120" w:line="400" w:lineRule="exact"/>
    </w:pPr>
    <w:rPr>
      <w:rFonts w:ascii="宋体" w:hAnsi="宋体" w:cs="宋体"/>
      <w:b/>
      <w:bCs/>
      <w:sz w:val="24"/>
      <w:szCs w:val="24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qFormat/>
    <w:rPr>
      <w:rFonts w:eastAsia="宋体"/>
      <w:b/>
      <w:bCs/>
      <w:sz w:val="21"/>
      <w:szCs w:val="21"/>
    </w:rPr>
  </w:style>
  <w:style w:type="character" w:styleId="aa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9"/>
    <w:locked/>
    <w:rPr>
      <w:b/>
      <w:bCs/>
      <w:kern w:val="44"/>
      <w:sz w:val="44"/>
      <w:szCs w:val="44"/>
    </w:rPr>
  </w:style>
  <w:style w:type="paragraph" w:styleId="ab">
    <w:name w:val="List Paragraph"/>
    <w:basedOn w:val="a"/>
    <w:uiPriority w:val="99"/>
    <w:qFormat/>
    <w:pPr>
      <w:widowControl/>
      <w:ind w:rightChars="50" w:right="50" w:firstLineChars="200" w:firstLine="420"/>
    </w:pPr>
    <w:rPr>
      <w:rFonts w:ascii="Calibri" w:hAnsi="Calibri" w:cs="Calibri"/>
    </w:rPr>
  </w:style>
  <w:style w:type="paragraph" w:customStyle="1" w:styleId="TOC1">
    <w:name w:val="TOC 标题1"/>
    <w:basedOn w:val="1"/>
    <w:next w:val="a"/>
    <w:uiPriority w:val="99"/>
    <w:qFormat/>
    <w:pPr>
      <w:spacing w:before="480" w:after="0" w:line="276" w:lineRule="auto"/>
      <w:ind w:rightChars="0" w:right="0" w:firstLineChars="0" w:firstLine="0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character" w:customStyle="1" w:styleId="Char1">
    <w:name w:val="正文文本缩进 Char"/>
    <w:link w:val="a5"/>
    <w:uiPriority w:val="99"/>
    <w:qFormat/>
    <w:locked/>
    <w:rPr>
      <w:rFonts w:ascii="Times New Roman" w:eastAsia="仿宋_GB2312" w:hAnsi="Times New Roman" w:cs="Times New Roman"/>
      <w:sz w:val="20"/>
      <w:szCs w:val="20"/>
    </w:rPr>
  </w:style>
  <w:style w:type="character" w:customStyle="1" w:styleId="Char0">
    <w:name w:val="正文文本 Char"/>
    <w:link w:val="a4"/>
    <w:uiPriority w:val="99"/>
    <w:qFormat/>
    <w:locked/>
    <w:rPr>
      <w:rFonts w:ascii="Times New Roman" w:eastAsia="仿宋_GB2312" w:hAnsi="Times New Roman" w:cs="Times New Roman"/>
      <w:sz w:val="20"/>
      <w:szCs w:val="20"/>
    </w:rPr>
  </w:style>
  <w:style w:type="character" w:customStyle="1" w:styleId="2Char">
    <w:name w:val="正文文本 2 Char"/>
    <w:link w:val="20"/>
    <w:uiPriority w:val="99"/>
    <w:qFormat/>
    <w:locked/>
    <w:rPr>
      <w:rFonts w:ascii="宋体" w:eastAsia="宋体" w:hAnsi="宋体" w:cs="宋体"/>
      <w:b/>
      <w:bCs/>
      <w:sz w:val="20"/>
      <w:szCs w:val="20"/>
    </w:rPr>
  </w:style>
  <w:style w:type="character" w:customStyle="1" w:styleId="Char">
    <w:name w:val="批注文字 Char"/>
    <w:link w:val="a3"/>
    <w:uiPriority w:val="99"/>
    <w:semiHidden/>
    <w:qFormat/>
    <w:locked/>
    <w:rPr>
      <w:rFonts w:ascii="Times New Roman" w:eastAsia="仿宋_GB2312" w:hAnsi="Times New Roman" w:cs="Times New Roman"/>
      <w:sz w:val="30"/>
      <w:szCs w:val="30"/>
    </w:rPr>
  </w:style>
  <w:style w:type="character" w:customStyle="1" w:styleId="Char4">
    <w:name w:val="页眉 Char"/>
    <w:link w:val="a8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批注主题 Char"/>
    <w:link w:val="a9"/>
    <w:uiPriority w:val="99"/>
    <w:semiHidden/>
    <w:qFormat/>
    <w:rPr>
      <w:rFonts w:ascii="Times New Roman" w:eastAsia="仿宋_GB2312" w:hAnsi="Times New Roman" w:cs="Times New Roman"/>
      <w:b/>
      <w:bCs/>
      <w:kern w:val="2"/>
      <w:sz w:val="21"/>
      <w:szCs w:val="21"/>
    </w:rPr>
  </w:style>
  <w:style w:type="character" w:customStyle="1" w:styleId="Char2">
    <w:name w:val="批注框文本 Char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nhideWhenUsed="0" w:qFormat="1"/>
    <w:lsdException w:name="toc 2" w:unhideWhenUsed="0" w:qFormat="1"/>
    <w:lsdException w:name="toc 3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 w:qFormat="1"/>
    <w:lsdException w:name="footer" w:semiHidden="0" w:unhideWhenUsed="0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widowControl/>
      <w:spacing w:before="340" w:after="330" w:line="578" w:lineRule="auto"/>
      <w:ind w:rightChars="50" w:right="50" w:firstLineChars="236" w:firstLine="236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  <w:rPr>
      <w:rFonts w:eastAsia="仿宋_GB2312"/>
      <w:sz w:val="30"/>
      <w:szCs w:val="30"/>
    </w:rPr>
  </w:style>
  <w:style w:type="paragraph" w:styleId="a4">
    <w:name w:val="Body Text"/>
    <w:basedOn w:val="a"/>
    <w:link w:val="Char0"/>
    <w:uiPriority w:val="99"/>
    <w:qFormat/>
    <w:pPr>
      <w:spacing w:before="120" w:after="120" w:line="400" w:lineRule="exact"/>
    </w:pPr>
    <w:rPr>
      <w:rFonts w:eastAsia="仿宋_GB2312"/>
      <w:sz w:val="24"/>
      <w:szCs w:val="24"/>
    </w:rPr>
  </w:style>
  <w:style w:type="paragraph" w:styleId="a5">
    <w:name w:val="Body Text Indent"/>
    <w:basedOn w:val="a"/>
    <w:link w:val="Char1"/>
    <w:uiPriority w:val="99"/>
    <w:qFormat/>
    <w:pPr>
      <w:tabs>
        <w:tab w:val="left" w:pos="720"/>
      </w:tabs>
      <w:spacing w:before="120" w:after="120" w:line="400" w:lineRule="exact"/>
      <w:ind w:left="360"/>
    </w:pPr>
    <w:rPr>
      <w:rFonts w:eastAsia="仿宋_GB2312"/>
      <w:sz w:val="24"/>
      <w:szCs w:val="24"/>
    </w:rPr>
  </w:style>
  <w:style w:type="paragraph" w:styleId="3">
    <w:name w:val="toc 3"/>
    <w:basedOn w:val="a"/>
    <w:next w:val="a"/>
    <w:uiPriority w:val="99"/>
    <w:semiHidden/>
    <w:qFormat/>
    <w:pPr>
      <w:widowControl/>
      <w:spacing w:after="100" w:line="276" w:lineRule="auto"/>
      <w:ind w:left="440"/>
      <w:jc w:val="left"/>
    </w:pPr>
    <w:rPr>
      <w:rFonts w:ascii="Calibri" w:hAnsi="Calibri" w:cs="Calibri"/>
      <w:kern w:val="0"/>
      <w:sz w:val="22"/>
      <w:szCs w:val="22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semiHidden/>
    <w:qFormat/>
    <w:pPr>
      <w:widowControl/>
      <w:spacing w:after="100" w:line="276" w:lineRule="auto"/>
      <w:jc w:val="left"/>
    </w:pPr>
    <w:rPr>
      <w:rFonts w:ascii="Calibri" w:hAnsi="Calibri" w:cs="Calibri"/>
      <w:kern w:val="0"/>
      <w:sz w:val="22"/>
      <w:szCs w:val="22"/>
    </w:rPr>
  </w:style>
  <w:style w:type="paragraph" w:styleId="2">
    <w:name w:val="toc 2"/>
    <w:basedOn w:val="a"/>
    <w:next w:val="a"/>
    <w:uiPriority w:val="99"/>
    <w:semiHidden/>
    <w:qFormat/>
    <w:pPr>
      <w:widowControl/>
      <w:spacing w:after="100" w:line="276" w:lineRule="auto"/>
      <w:ind w:left="220"/>
      <w:jc w:val="left"/>
    </w:pPr>
    <w:rPr>
      <w:rFonts w:ascii="Calibri" w:hAnsi="Calibri" w:cs="Calibri"/>
      <w:kern w:val="0"/>
      <w:sz w:val="22"/>
      <w:szCs w:val="22"/>
    </w:rPr>
  </w:style>
  <w:style w:type="paragraph" w:styleId="20">
    <w:name w:val="Body Text 2"/>
    <w:basedOn w:val="a"/>
    <w:link w:val="2Char"/>
    <w:uiPriority w:val="99"/>
    <w:qFormat/>
    <w:pPr>
      <w:spacing w:before="120" w:after="120" w:line="400" w:lineRule="exact"/>
    </w:pPr>
    <w:rPr>
      <w:rFonts w:ascii="宋体" w:hAnsi="宋体" w:cs="宋体"/>
      <w:b/>
      <w:bCs/>
      <w:sz w:val="24"/>
      <w:szCs w:val="24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qFormat/>
    <w:rPr>
      <w:rFonts w:eastAsia="宋体"/>
      <w:b/>
      <w:bCs/>
      <w:sz w:val="21"/>
      <w:szCs w:val="21"/>
    </w:rPr>
  </w:style>
  <w:style w:type="character" w:styleId="aa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9"/>
    <w:locked/>
    <w:rPr>
      <w:b/>
      <w:bCs/>
      <w:kern w:val="44"/>
      <w:sz w:val="44"/>
      <w:szCs w:val="44"/>
    </w:rPr>
  </w:style>
  <w:style w:type="paragraph" w:styleId="ab">
    <w:name w:val="List Paragraph"/>
    <w:basedOn w:val="a"/>
    <w:uiPriority w:val="99"/>
    <w:qFormat/>
    <w:pPr>
      <w:widowControl/>
      <w:ind w:rightChars="50" w:right="50" w:firstLineChars="200" w:firstLine="420"/>
    </w:pPr>
    <w:rPr>
      <w:rFonts w:ascii="Calibri" w:hAnsi="Calibri" w:cs="Calibri"/>
    </w:rPr>
  </w:style>
  <w:style w:type="paragraph" w:customStyle="1" w:styleId="TOC1">
    <w:name w:val="TOC 标题1"/>
    <w:basedOn w:val="1"/>
    <w:next w:val="a"/>
    <w:uiPriority w:val="99"/>
    <w:qFormat/>
    <w:pPr>
      <w:spacing w:before="480" w:after="0" w:line="276" w:lineRule="auto"/>
      <w:ind w:rightChars="0" w:right="0" w:firstLineChars="0" w:firstLine="0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character" w:customStyle="1" w:styleId="Char1">
    <w:name w:val="正文文本缩进 Char"/>
    <w:link w:val="a5"/>
    <w:uiPriority w:val="99"/>
    <w:qFormat/>
    <w:locked/>
    <w:rPr>
      <w:rFonts w:ascii="Times New Roman" w:eastAsia="仿宋_GB2312" w:hAnsi="Times New Roman" w:cs="Times New Roman"/>
      <w:sz w:val="20"/>
      <w:szCs w:val="20"/>
    </w:rPr>
  </w:style>
  <w:style w:type="character" w:customStyle="1" w:styleId="Char0">
    <w:name w:val="正文文本 Char"/>
    <w:link w:val="a4"/>
    <w:uiPriority w:val="99"/>
    <w:qFormat/>
    <w:locked/>
    <w:rPr>
      <w:rFonts w:ascii="Times New Roman" w:eastAsia="仿宋_GB2312" w:hAnsi="Times New Roman" w:cs="Times New Roman"/>
      <w:sz w:val="20"/>
      <w:szCs w:val="20"/>
    </w:rPr>
  </w:style>
  <w:style w:type="character" w:customStyle="1" w:styleId="2Char">
    <w:name w:val="正文文本 2 Char"/>
    <w:link w:val="20"/>
    <w:uiPriority w:val="99"/>
    <w:qFormat/>
    <w:locked/>
    <w:rPr>
      <w:rFonts w:ascii="宋体" w:eastAsia="宋体" w:hAnsi="宋体" w:cs="宋体"/>
      <w:b/>
      <w:bCs/>
      <w:sz w:val="20"/>
      <w:szCs w:val="20"/>
    </w:rPr>
  </w:style>
  <w:style w:type="character" w:customStyle="1" w:styleId="Char">
    <w:name w:val="批注文字 Char"/>
    <w:link w:val="a3"/>
    <w:uiPriority w:val="99"/>
    <w:semiHidden/>
    <w:qFormat/>
    <w:locked/>
    <w:rPr>
      <w:rFonts w:ascii="Times New Roman" w:eastAsia="仿宋_GB2312" w:hAnsi="Times New Roman" w:cs="Times New Roman"/>
      <w:sz w:val="30"/>
      <w:szCs w:val="30"/>
    </w:rPr>
  </w:style>
  <w:style w:type="character" w:customStyle="1" w:styleId="Char4">
    <w:name w:val="页眉 Char"/>
    <w:link w:val="a8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批注主题 Char"/>
    <w:link w:val="a9"/>
    <w:uiPriority w:val="99"/>
    <w:semiHidden/>
    <w:qFormat/>
    <w:rPr>
      <w:rFonts w:ascii="Times New Roman" w:eastAsia="仿宋_GB2312" w:hAnsi="Times New Roman" w:cs="Times New Roman"/>
      <w:b/>
      <w:bCs/>
      <w:kern w:val="2"/>
      <w:sz w:val="21"/>
      <w:szCs w:val="21"/>
    </w:rPr>
  </w:style>
  <w:style w:type="character" w:customStyle="1" w:styleId="Char2">
    <w:name w:val="批注框文本 Char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97ABE9-D1D0-4303-AEAF-0957EA4D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topvaluer</dc:creator>
  <cp:lastModifiedBy>KG</cp:lastModifiedBy>
  <cp:revision>12</cp:revision>
  <cp:lastPrinted>2020-12-14T08:59:00Z</cp:lastPrinted>
  <dcterms:created xsi:type="dcterms:W3CDTF">2020-12-14T05:56:00Z</dcterms:created>
  <dcterms:modified xsi:type="dcterms:W3CDTF">2021-02-04T02:07:00Z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